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A4" w:rsidRDefault="00EF32A4" w:rsidP="00EF32A4">
      <w:pPr>
        <w:widowControl/>
        <w:spacing w:before="0" w:after="120" w:line="240" w:lineRule="auto"/>
        <w:rPr>
          <w:rFonts w:ascii="Calibri" w:eastAsia="Calibri" w:hAnsi="Calibri"/>
          <w:sz w:val="40"/>
          <w:szCs w:val="22"/>
        </w:rPr>
      </w:pPr>
      <w:bookmarkStart w:id="0" w:name="_Toc473023724"/>
      <w:r w:rsidRPr="00EF32A4">
        <w:rPr>
          <w:rFonts w:ascii="Calibri" w:eastAsia="Calibri" w:hAnsi="Calibri"/>
          <w:sz w:val="40"/>
          <w:szCs w:val="22"/>
        </w:rPr>
        <w:t xml:space="preserve">Aguisín C: Na </w:t>
      </w:r>
      <w:bookmarkStart w:id="1" w:name="_GoBack"/>
      <w:r w:rsidRPr="00EF32A4">
        <w:rPr>
          <w:rFonts w:ascii="Calibri" w:eastAsia="Calibri" w:hAnsi="Calibri"/>
          <w:sz w:val="40"/>
          <w:szCs w:val="22"/>
        </w:rPr>
        <w:t xml:space="preserve">Leibhéil Chomhchoiteanna Tagartha </w:t>
      </w:r>
      <w:bookmarkEnd w:id="1"/>
      <w:r w:rsidRPr="00EF32A4">
        <w:rPr>
          <w:rFonts w:ascii="Calibri" w:eastAsia="Calibri" w:hAnsi="Calibri"/>
          <w:sz w:val="40"/>
          <w:szCs w:val="22"/>
        </w:rPr>
        <w:t>– an eangach féinmheasúnaithe</w:t>
      </w:r>
      <w:bookmarkEnd w:id="0"/>
    </w:p>
    <w:p w:rsidR="00EF32A4" w:rsidRPr="00EF32A4" w:rsidRDefault="00EF32A4" w:rsidP="00EF32A4">
      <w:pPr>
        <w:widowControl/>
        <w:spacing w:before="0" w:after="120" w:line="240" w:lineRule="auto"/>
        <w:rPr>
          <w:rFonts w:ascii="Calibri" w:eastAsia="Calibri" w:hAnsi="Calibri"/>
          <w:sz w:val="22"/>
          <w:szCs w:val="22"/>
        </w:rPr>
      </w:pPr>
    </w:p>
    <w:tbl>
      <w:tblPr>
        <w:tblW w:w="14839" w:type="dxa"/>
        <w:tblInd w:w="-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275"/>
        <w:gridCol w:w="2216"/>
        <w:gridCol w:w="2212"/>
        <w:gridCol w:w="2208"/>
        <w:gridCol w:w="2222"/>
        <w:gridCol w:w="2222"/>
        <w:gridCol w:w="2205"/>
      </w:tblGrid>
      <w:tr w:rsidR="00EF32A4" w:rsidRPr="00EF32A4" w:rsidTr="007E79E4"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A2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B1 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B2 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C1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C2 </w:t>
            </w:r>
          </w:p>
        </w:tc>
      </w:tr>
      <w:tr w:rsidR="00EF32A4" w:rsidRPr="00EF32A4" w:rsidTr="007E79E4">
        <w:trPr>
          <w:trHeight w:val="1900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T U I  S C I N T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Éisteacht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focail choitianta agus frásaí an-bhunúsacha mar gheall orm féin, ar mo theaghlach agus ar mo gharthimpeallacht nithiúil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aithint nuair a labhraíonn daoine go mall agus go soiléir.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frásaí agus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stór focal is airde minicíocht a bhaineann le réimsí lena ngabhann an ábharthacht phearsanta is láithrí a thuiscint (m.sh. faisnéis an-bhunúsach phearsanta agus teaghlaigh, siopadóireacht, an ceantar áitiúil, fostaíocht). Is féidir liom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príomhphointe a thuiscint i dteachtaireachtaí agus i bhfógraí atá gearr, soiléir agus simplí.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na príomhphointí a thuiscint i ngnáthchaint shoiléir agus chaighdeánach ar chúrsaí coitianta a bpléitear go rialta leo san áit oibre, ar scoil, le linn caitheamh aimsire, etc. Is féidir liom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príomhphointe a thuiscint i mórán clár raidió agus teilifíse ar chúrsaí reatha nó ar thopaicí a bhfuil spéis phearsanta nó ghairmiúil agam iontu nuair a dhéantar na pointí go measartha mall agus go soiléir.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caint fhada agus léachtaí fada a thuiscint agus línte argóinte casta a leanúint fad atá cur amach réasúnta agam ar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topaic. Is féidir liom formhór na gclár nuachta agus cúrsaí reatha ar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teilifís a thuiscint. Is féidir liom formhór na scannán sa chanúint chaighdeánach 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thuiscint.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caint fhada a thuiscint fiú amháin i gcás nach bhfuil struchtúr soiléir uirthi agus i gcás gur intuigthe atá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caidreamh, agus ní curtha in iúl go follasach. Is féidir liom cláir theilifíse agus scannáin a thuiscint gan mórán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dua.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Níl aon deacracht agam aon chineál teanga labhartha a thuiscint, bíodh sí beo nó craolta, fiú amháin i gcás go labhraítear ag luas tapa an chainteora dhúchais, fad atá roinnt ama agam chun dul i dtaithí ar an mblas. </w:t>
            </w:r>
          </w:p>
        </w:tc>
      </w:tr>
      <w:tr w:rsidR="00EF32A4" w:rsidRPr="00EF32A4" w:rsidTr="007E79E4">
        <w:trPr>
          <w:trHeight w:val="1646"/>
        </w:trPr>
        <w:tc>
          <w:tcPr>
            <w:tcW w:w="2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0" w:line="240" w:lineRule="auto"/>
              <w:rPr>
                <w:rFonts w:ascii="Times" w:eastAsia="MS Mincho" w:hAnsi="Time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Léitheoireacht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ainmneacha coitianta, focail choitianta agus abairtí an-simplí a thuiscint, mar shampla, iad sin ar fhógraí agus ar phóstaeir nó i gcatalóga.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téacsanna atá simplí agus an-ghearr 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léamh.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faisnéis atá sonrach agus intuartha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fháil in ábhar simplí agus laethúil amhail fógraí, réamheolairí, biachláir agus amchláir agus is féidir liom litreacha pearsanta atá gearr agus simplí a thuiscint.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téacsanna ina bhfuil focail laethúla ardmhinicíochta nó focail atá bainteach le hobair den chuid is mó a thuiscint. Is féidir liom cur síos ar eachtraí, ar mhothúcháin agus ar mhianta i litreacha pearsanta a thuiscint.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ailt agus tuarascálacha a léamh a bhaineann le fadhbanna na linne seo agus ina nglacann na scríbhneoirí dearcthaí nó tuairimí ar leith. Is féidir liom prós liteartha na linne seo 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thuiscint.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téacsanna fíorasacha agus liteartha atá fada agus casta a thuiscint agus idirdhealuithe ó thaobh stíle de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aithint. Is féidir liom ailt speisialaithe agus treoracha fada agus teicniúla a thuiscint, fiú amháin i gcás nach mbaineann siad le mo réimse spéise.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beagnach gach cineál den teanga scríofa a thuiscint, lena n-áirítear téacsanna teibí atá casta ó thaobh struchtúir nó teangeolaíochta de amhail lámhleabhair, ailt speisialaithe agus saothair liteartha. </w:t>
            </w:r>
          </w:p>
        </w:tc>
      </w:tr>
      <w:tr w:rsidR="00EF32A4" w:rsidRPr="00EF32A4" w:rsidTr="007E79E4">
        <w:trPr>
          <w:trHeight w:val="1298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lastRenderedPageBreak/>
              <w:t xml:space="preserve">L A B H A I R T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>Idirghníomhú cainte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caidreamh a dhéanamh ar bhealach simplí fad atá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duine eile sásta rudaí a athrá nó a rá ar shlí eile ag luas cainte níos moille agus cabhrú liom an rud atá i gceist agam a rá. Is féidir liom ceisteanna simplí a chur agus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fhreagairt faoi riachtanais láithreacha nó faoi thopaicí a bhfuil dea-chur amach agam orthu.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cumarsáid a dhéanamh le linn gnáth-thascanna simplí nuair nach bhfuil i gceist iontu ach malartú faisnéise díreach agus simplí maidir le topaicí agus le gníomhaíochtaí coitianta. Is féidir liom caidreamh sóisialta an-ghearr a láimhseáil, cé nach dtuigim mo dhóthain de ghnáth chun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comhrá a choinneáil ar siúl mé féin.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déileáil le formhór na gcásanna ar dóigh dóibh teacht chun cinn agus mé ag taisteal i gceantar ina labhraítear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teanga. Is féidir liom dul isteach gan ullmhúchán i gcomhrá faoi thopaicí a bhfuil cur amach agam orthu, faoi thopaicí a bhfuil spéis phearsanta agam iontu nó faoi thopaicí a bhaineann leis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saol laethúil (m.sh. cúrsaí teaghlaigh, caitheamh aimsire, cúrsaí oibre, cúrsaí taistil agus cúrsaí reatha).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caidreamh a dhéanamh go measartha líofa agus gan réamhsmaoineamh,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fhágann go mbím in ann caidreamh rialta a dhéanamh le cainteoirí dúchais. Is féidir liom páirt ghníomhach a ghlacadh i ndíospóireacht i gcomhthéacsanna coitianta agus mo thuairimí a leagan amach agus údar a chur leo.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mé féin a chur in iúl go líofa agus gan réamhsmaoineamh, gan nathanna cainte a chuardach go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follasach.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teanga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úsáid go solúbtha agus go héifeachtach chun críocha sóisialta agus gairmiúla. Is féidir liom smaointe agus tuairimí a chur i bhfocail go beacht agus mo thuairimí a nascadh le tuairimí cainteoirí eile.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páirt a ghlacadh gan dua in aon chomhrá nó in aon díospóireacht agus tá dea-chur amach agam ar nathanna dúchasacha agus ar leaganacha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canúnacha.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mé féin a chur in iúl go líofa agus miondifríochtaí céille a chur in iúl go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beacht.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Má tharlaíonn sé go bhfuil fadhb agam, tá sé ar mo chumas gabháil siar ar an méid atá ráite agam agus athstruchtúrú a dhéanamh air gan dua ionas gur ar éigean a thugann daoine eile faoi deara é. </w:t>
            </w:r>
          </w:p>
        </w:tc>
      </w:tr>
      <w:tr w:rsidR="00EF32A4" w:rsidRPr="00EF32A4" w:rsidTr="00EF32A4">
        <w:trPr>
          <w:trHeight w:val="679"/>
        </w:trPr>
        <w:tc>
          <w:tcPr>
            <w:tcW w:w="284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0" w:line="240" w:lineRule="auto"/>
              <w:rPr>
                <w:rFonts w:ascii="Times" w:eastAsia="MS Mincho" w:hAnsi="Time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Labhairt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frásaí agus abairtí simplí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úsáid chun cur síos a dhéanamh ar m’áit chónaithe agus ar na daoine atá ar aithne agam.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sraith frásaí agus abairtí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úsáid chun cur síos a dhéanamh i dtéarmaí simplí ar mo theaghlach agus ar dhaoine eile, ar mo dhálaí maireachtála, ar mo chúlra oideachasúil agus ar an bpost atá agam anois nó a bhí agam le déanaí.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frásaí a nascadh le chéile ar bhealach simplí chun cur síos a dhéanamh ar eispéiris agus ar eachtraí, ar mo mhianta, ar m’ábhair dhóchais agus ar m’uaillmhianta. Is féidir liom cúiseanna achoimre a thabhairt le tuairimí agus le pleananna agus mínithe achoimre a thabhairt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orthu.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scéal nó plota leabhair nó scannáin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insint agus cur síos a dhéanamh ar </w:t>
            </w:r>
            <w:r w:rsidRPr="00EF32A4">
              <w:rPr>
                <w:rFonts w:ascii="TimesNewRoman" w:eastAsia="MS Mincho" w:hAnsi="TimesNewRoman"/>
                <w:sz w:val="20"/>
                <w:szCs w:val="20"/>
              </w:rPr>
              <w:lastRenderedPageBreak/>
              <w:t xml:space="preserve">an gcaoi ar mhothaigh mé fúthu.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lastRenderedPageBreak/>
              <w:t xml:space="preserve">Is féidir liom cur síos atá soiléir agus mionsonraithe a dhéanamh ar raon leathan ábhar a bhaineann le mo réimse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spéise.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míniú a thabhairt ar thuairim ar cheist thráthúil, agus na buntáistí agus na míbhuntáistí a bhaineann le roghanna éagsúla á gcur in iúl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agam.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cur síos atá soiléir agus mionsonraithe a dhéanamh ar ábhair chasta, áit a gcuirim fothéamaí san áireamh, a bhforbraím pointí ar leith agus a dtagaim ar chonclúid chuí ag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deireadh.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cur síos nó argóint a chur i láthair go soiléir agus go réidh i stíl atá oiriúnach don chomhthéacs agus a bhfuil struchtúr loighciúil agus éifeachtach uirthi a chabhraíonn leis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bpáirtí eile pointí tábhachtacha a thabhairt faoi deara agus cuimhneamh orthu. </w:t>
            </w:r>
          </w:p>
        </w:tc>
      </w:tr>
    </w:tbl>
    <w:p w:rsidR="00EF32A4" w:rsidRPr="00EF32A4" w:rsidRDefault="00EF32A4" w:rsidP="00EF32A4">
      <w:pPr>
        <w:widowControl/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14839" w:type="dxa"/>
        <w:tblInd w:w="-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1497"/>
        <w:gridCol w:w="2172"/>
        <w:gridCol w:w="2191"/>
        <w:gridCol w:w="2162"/>
        <w:gridCol w:w="2182"/>
        <w:gridCol w:w="2173"/>
        <w:gridCol w:w="2184"/>
      </w:tblGrid>
      <w:tr w:rsidR="00EF32A4" w:rsidRPr="00EF32A4" w:rsidTr="007E79E4">
        <w:trPr>
          <w:trHeight w:val="3585"/>
        </w:trPr>
        <w:tc>
          <w:tcPr>
            <w:tcW w:w="28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S C R Í B H N E O I R E A C H T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PS" w:eastAsia="MS Mincho" w:hAnsi="TimesNewRomanPS"/>
                <w:b/>
                <w:bCs/>
                <w:sz w:val="20"/>
                <w:szCs w:val="20"/>
              </w:rPr>
              <w:t xml:space="preserve">Scríbhneoireacht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cárta poist atá gearr agus simplí a scríobh, mar shampla, chun beannachtaí laethanta saoire a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thabhairt.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mo shonraí pearsanta a chomhlánú ar fhoirmeacha, mar shampla, m’ainm, mo náisiúntacht agus mo sheoladh a scríobh ar fhoirm chlárúcháin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óstáin.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nótaí agus teachtaireachtaí atá gearr agus simplí a scríobh maidir le hábhair a bhaineann le riachtanais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láithreacha.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litir atá pearsanta agus an-simplí a scríobh, mar shampla, chun buíochas a ghabháil le duine as rud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éigin.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 atá simplí agus nasctha a scríobh ar thopaicí a bhfuil cur amach agam orthu nó a bhfuil spéis phearsanta agam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iontu.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litreacha pearsanta a scríobh ina ndéantar cur síos ar eispéiris agus ar rudaí a thug mé faoi deara.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 atá soiléir agus mionsonraithe a scríobh ar raon leathan ábhar a bhaineann le mo réimsí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spéise.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Is féidir liom aiste nó tuarascáil a scríobh ina gcuirtear faisnéis ar aghaidh nó ina dtugtar cúiseanna le tacú le tuairim ar leith nó le cur ina coinne. Is féidir liom litreacha a scríobh ina dtarraingítear aird ar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tábhacht phearsanta a bhaineann le heachtraí agus le heispéiris.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" w:eastAsia="MS Mincho" w:hAnsi="Times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mé féin a chur in iúl i dtéacs atá soiléir agus dea-struchtúrtha, agus tuairimí a chur in iúl go measartha domhain. Is féidir liom scríobh faoi ábhair chasta i litir, in aiste nó i dtuarascáil, agus béim a chur ar na pointí is dóigh liomsa a bheith ar na cinn is tábhachtaí. Is féidir liom stíl a roghnú atá oiriúnach don léitheoir atá i gceist.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F32A4" w:rsidRPr="00EF32A4" w:rsidRDefault="00EF32A4" w:rsidP="00EF32A4">
            <w:pPr>
              <w:widowControl/>
              <w:spacing w:before="100" w:beforeAutospacing="1" w:after="100" w:afterAutospacing="1" w:line="240" w:lineRule="auto"/>
              <w:rPr>
                <w:rFonts w:ascii="TimesNewRoman" w:eastAsia="MS Mincho" w:hAnsi="TimesNewRoman"/>
                <w:sz w:val="20"/>
                <w:szCs w:val="20"/>
              </w:rPr>
            </w:pPr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Is féidir liom téacs atá soiléir agus réidh a scríobh i stíl oiriúnach. Is féidir liom litreacha, tuarascálacha nó ailt atá casta a scríobh, áit a gcuirtear cás a bhfuil struchtúr loighciúil agus éifeachtach air i láthair a chabhraíonn leis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an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bpáirtí eile pointí tábhachtacha a thabhairt faoi deara agus cuimhneamh orthu. Is féidir liom achoimrí agus léirmheasanna a scríobh ar shaothair ghairmiúla nó ar shaothair </w:t>
            </w:r>
            <w:proofErr w:type="gramStart"/>
            <w:r w:rsidRPr="00EF32A4">
              <w:rPr>
                <w:rFonts w:ascii="TimesNewRoman" w:eastAsia="MS Mincho" w:hAnsi="TimesNewRoman"/>
                <w:sz w:val="20"/>
                <w:szCs w:val="20"/>
              </w:rPr>
              <w:t>liteartha.</w:t>
            </w:r>
            <w:proofErr w:type="gramEnd"/>
            <w:r w:rsidRPr="00EF32A4">
              <w:rPr>
                <w:rFonts w:ascii="TimesNewRoman" w:eastAsia="MS Mincho" w:hAnsi="TimesNewRoman"/>
                <w:sz w:val="20"/>
                <w:szCs w:val="20"/>
              </w:rPr>
              <w:t xml:space="preserve"> </w:t>
            </w:r>
          </w:p>
        </w:tc>
      </w:tr>
    </w:tbl>
    <w:p w:rsidR="00877F25" w:rsidRPr="00EF32A4" w:rsidRDefault="00877F25" w:rsidP="00EF32A4">
      <w:pPr>
        <w:widowControl/>
        <w:spacing w:before="0" w:after="160" w:line="259" w:lineRule="auto"/>
        <w:rPr>
          <w:rFonts w:ascii="Calibri" w:eastAsia="Calibri" w:hAnsi="Calibri"/>
          <w:sz w:val="22"/>
          <w:szCs w:val="22"/>
        </w:rPr>
      </w:pPr>
    </w:p>
    <w:sectPr w:rsidR="00877F25" w:rsidRPr="00EF32A4" w:rsidSect="00EF32A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7" w:rsidRDefault="00EF32A4" w:rsidP="00E673AA">
    <w:pPr>
      <w:pStyle w:val="Footer"/>
      <w:framePr w:w="430" w:wrap="none" w:vAnchor="text" w:hAnchor="page" w:x="10172" w:y="-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12B67" w:rsidRDefault="00EF32A4" w:rsidP="00E673AA">
    <w:pPr>
      <w:pStyle w:val="Footer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4"/>
    <w:rsid w:val="00007FCF"/>
    <w:rsid w:val="0040733A"/>
    <w:rsid w:val="00877F25"/>
    <w:rsid w:val="00910083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Body">
    <w:name w:val="NCCA_Body"/>
    <w:basedOn w:val="Normal"/>
    <w:link w:val="NCCABodyChar"/>
    <w:qFormat/>
    <w:rsid w:val="00EF32A4"/>
    <w:pPr>
      <w:widowControl/>
      <w:spacing w:before="0" w:after="160"/>
      <w:jc w:val="both"/>
    </w:pPr>
    <w:rPr>
      <w:rFonts w:ascii="Calibri" w:eastAsia="Calibri" w:hAnsi="Calibri"/>
      <w:sz w:val="22"/>
      <w:szCs w:val="22"/>
    </w:rPr>
  </w:style>
  <w:style w:type="character" w:customStyle="1" w:styleId="NCCABodyChar">
    <w:name w:val="NCCA_Body Char"/>
    <w:basedOn w:val="DefaultParagraphFont"/>
    <w:link w:val="NCCABody"/>
    <w:rsid w:val="00EF32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2A4"/>
    <w:pPr>
      <w:widowControl/>
      <w:tabs>
        <w:tab w:val="center" w:pos="4513"/>
        <w:tab w:val="right" w:pos="9026"/>
      </w:tabs>
      <w:spacing w:before="0" w:line="240" w:lineRule="auto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32A4"/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FCF"/>
    <w:pPr>
      <w:widowControl w:val="0"/>
      <w:spacing w:before="120" w:after="0" w:line="36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CCABody">
    <w:name w:val="NCCA_Body"/>
    <w:basedOn w:val="Normal"/>
    <w:link w:val="NCCABodyChar"/>
    <w:qFormat/>
    <w:rsid w:val="00EF32A4"/>
    <w:pPr>
      <w:widowControl/>
      <w:spacing w:before="0" w:after="160"/>
      <w:jc w:val="both"/>
    </w:pPr>
    <w:rPr>
      <w:rFonts w:ascii="Calibri" w:eastAsia="Calibri" w:hAnsi="Calibri"/>
      <w:sz w:val="22"/>
      <w:szCs w:val="22"/>
    </w:rPr>
  </w:style>
  <w:style w:type="character" w:customStyle="1" w:styleId="NCCABodyChar">
    <w:name w:val="NCCA_Body Char"/>
    <w:basedOn w:val="DefaultParagraphFont"/>
    <w:link w:val="NCCABody"/>
    <w:rsid w:val="00EF32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32A4"/>
    <w:pPr>
      <w:widowControl/>
      <w:tabs>
        <w:tab w:val="center" w:pos="4513"/>
        <w:tab w:val="right" w:pos="9026"/>
      </w:tabs>
      <w:spacing w:before="0" w:line="240" w:lineRule="auto"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32A4"/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F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2017-01-27T11:26:00Z</dcterms:created>
  <dcterms:modified xsi:type="dcterms:W3CDTF">2017-01-27T11:29:00Z</dcterms:modified>
</cp:coreProperties>
</file>